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FF" w:rsidRPr="008B0B71" w:rsidRDefault="007403FF" w:rsidP="00451C0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>Уважаемые депутаты и все присутствующие!</w:t>
      </w:r>
    </w:p>
    <w:p w:rsidR="007403FF" w:rsidRPr="008B0B71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На Ваше рассмотрение выносится проект решения «Об утверждении  стратегии социально-экономического развития Ардатовского муниципального  района Республики Мордовия до 2025 года». Данный проект предполагает утверждение разработанного в соответствии с Федеральным Законом от 28.06.2014 года № 172-ФЗ «О стратегическом планировании в Российской Федерации» документа стратегического целеполагания - стратегии социально-экономического развития Ардатовского муниципального района на период до 2025 года. В соответствии со ст. 6 Федерального Закона «О стратегическом планировании в Российской Федерации» определение долгосрочных целей и задач муниципального управления и социально-экономического развития муниципальных образований отнесено к полномочиям органов местного самоуправления в сфере стратегического планирования.</w:t>
      </w:r>
    </w:p>
    <w:p w:rsidR="007403FF" w:rsidRPr="008B0B71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Стратегия </w:t>
      </w:r>
      <w:r w:rsidRPr="008B0B71">
        <w:rPr>
          <w:rFonts w:ascii="Times New Roman" w:hAnsi="Times New Roman"/>
          <w:sz w:val="32"/>
          <w:szCs w:val="32"/>
          <w:shd w:val="clear" w:color="auto" w:fill="FFFFFF"/>
          <w:lang w:eastAsia="zh-CN"/>
        </w:rPr>
        <w:t>содержит систему</w:t>
      </w:r>
      <w:r w:rsidRPr="008B0B71">
        <w:rPr>
          <w:rFonts w:ascii="Times New Roman" w:hAnsi="Times New Roman"/>
          <w:bCs/>
          <w:sz w:val="32"/>
          <w:szCs w:val="32"/>
        </w:rPr>
        <w:t xml:space="preserve"> согласованных</w:t>
      </w:r>
      <w:r w:rsidRPr="008B0B71">
        <w:rPr>
          <w:rFonts w:ascii="Times New Roman" w:hAnsi="Times New Roman"/>
          <w:sz w:val="32"/>
          <w:szCs w:val="32"/>
        </w:rPr>
        <w:t xml:space="preserve"> со стратегиями развития Российской Федерации и Республики Мордовия</w:t>
      </w:r>
      <w:r w:rsidRPr="008B0B71">
        <w:rPr>
          <w:rFonts w:ascii="Times New Roman" w:hAnsi="Times New Roman"/>
          <w:sz w:val="32"/>
          <w:szCs w:val="32"/>
          <w:shd w:val="clear" w:color="auto" w:fill="FFFFFF"/>
          <w:lang w:eastAsia="zh-CN"/>
        </w:rPr>
        <w:t xml:space="preserve"> долгосрочных приоритетов, целей и задач муниципального управления, которые направлены на обеспечение устойчивого социально-экономического развития Ардатовского муниципального района.</w:t>
      </w:r>
    </w:p>
    <w:p w:rsidR="007403FF" w:rsidRPr="008B0B71" w:rsidRDefault="007403FF" w:rsidP="00451C0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0B71">
        <w:rPr>
          <w:rFonts w:ascii="Times New Roman" w:hAnsi="Times New Roman" w:cs="Times New Roman"/>
          <w:sz w:val="32"/>
          <w:szCs w:val="32"/>
        </w:rPr>
        <w:t xml:space="preserve">  Разработчиком Стратегии является Администрация Ардатовского муниципального района Республики Мордовия, координатор – Комитет социально-экономического анализа Администрации.</w:t>
      </w:r>
    </w:p>
    <w:p w:rsidR="007403FF" w:rsidRPr="008B0B71" w:rsidRDefault="007403FF" w:rsidP="00451C0A">
      <w:pPr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Стратегия разработана на 7 лет и предполагает ее реализацию в 2 этапа.</w:t>
      </w:r>
    </w:p>
    <w:p w:rsidR="007403FF" w:rsidRPr="008B0B71" w:rsidRDefault="007403FF" w:rsidP="00451C0A">
      <w:pPr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Первый этап: 2019 – 2021 гг. является начальным. На данном этапе формируются условия для сохранения достигнутых темпов экономического роста, развития инновационной деятельности, наиболее полного и эффективного использования имеющегося экономического потенциала.</w:t>
      </w:r>
    </w:p>
    <w:p w:rsidR="007403FF" w:rsidRPr="008B0B71" w:rsidRDefault="007403FF" w:rsidP="00451C0A">
      <w:pPr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Второй этап: 2022 – 2025 гг. предполагает повышение конкурентоспособности Ардатовского района и достижение ключевых результатов по качеству жизни и темпам экономического роста при минимизации вредного воздействия на окружающую среду.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В результате разработки Стратегии определена главная цель социально-экономического развития Ардатовского муниципального  района – </w:t>
      </w:r>
      <w:r w:rsidRPr="008B0B71">
        <w:rPr>
          <w:rFonts w:ascii="Times New Roman" w:hAnsi="Times New Roman"/>
          <w:b/>
          <w:sz w:val="32"/>
          <w:szCs w:val="32"/>
        </w:rPr>
        <w:t>повышение благосостояния  и качества жизни населения на основе обеспечения устойчивого функционирования и развития экономического потенциала муниципального района, как определяющего условия обеспечения его конкурентоспособности на рынках товаров и услуг,  формирования благоприятного инвестиционного климата и комфортной среды проживания, развитие человеческого капитала.</w:t>
      </w:r>
    </w:p>
    <w:p w:rsidR="007403FF" w:rsidRPr="008B0B71" w:rsidRDefault="007403FF" w:rsidP="00451C0A">
      <w:pPr>
        <w:tabs>
          <w:tab w:val="left" w:pos="3540"/>
        </w:tabs>
        <w:spacing w:line="36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Для достижения стратегической  цели развития Ардатовского муниципального района определены основные </w:t>
      </w:r>
      <w:r w:rsidRPr="008B0B71">
        <w:rPr>
          <w:rFonts w:ascii="Times New Roman" w:hAnsi="Times New Roman"/>
          <w:b/>
          <w:sz w:val="32"/>
          <w:szCs w:val="32"/>
        </w:rPr>
        <w:t>приоритетные направления</w:t>
      </w:r>
      <w:r w:rsidRPr="008B0B71">
        <w:rPr>
          <w:rFonts w:ascii="Times New Roman" w:hAnsi="Times New Roman"/>
          <w:sz w:val="32"/>
          <w:szCs w:val="32"/>
        </w:rPr>
        <w:t xml:space="preserve"> </w:t>
      </w:r>
      <w:r w:rsidRPr="008B0B71">
        <w:rPr>
          <w:rFonts w:ascii="Times New Roman" w:hAnsi="Times New Roman"/>
          <w:b/>
          <w:sz w:val="32"/>
          <w:szCs w:val="32"/>
        </w:rPr>
        <w:t>социально-экономического развития:</w:t>
      </w:r>
    </w:p>
    <w:p w:rsidR="007403FF" w:rsidRPr="008B0B71" w:rsidRDefault="007403FF" w:rsidP="00451C0A">
      <w:pPr>
        <w:tabs>
          <w:tab w:val="left" w:pos="3540"/>
        </w:tabs>
        <w:spacing w:line="360" w:lineRule="auto"/>
        <w:ind w:left="1069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>1.Развитие экономического потенциала.</w:t>
      </w:r>
    </w:p>
    <w:p w:rsidR="007403FF" w:rsidRPr="008B0B71" w:rsidRDefault="007403FF" w:rsidP="00451C0A">
      <w:pPr>
        <w:tabs>
          <w:tab w:val="left" w:pos="3540"/>
        </w:tabs>
        <w:spacing w:line="360" w:lineRule="auto"/>
        <w:ind w:left="1069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>2.Повышение качества жизни и развитие социальной сферы.</w:t>
      </w:r>
    </w:p>
    <w:p w:rsidR="007403FF" w:rsidRPr="008B0B71" w:rsidRDefault="007403FF" w:rsidP="00451C0A">
      <w:pPr>
        <w:tabs>
          <w:tab w:val="left" w:pos="3540"/>
        </w:tabs>
        <w:spacing w:line="360" w:lineRule="auto"/>
        <w:ind w:left="1069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>3.Развитие инфраструктуры.</w:t>
      </w:r>
    </w:p>
    <w:p w:rsidR="007403FF" w:rsidRPr="008B0B71" w:rsidRDefault="007403FF" w:rsidP="00451C0A">
      <w:pPr>
        <w:tabs>
          <w:tab w:val="left" w:pos="3540"/>
        </w:tabs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 xml:space="preserve">              4.Совершенствование муниципального управления.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Для реализации определённых Стратегией направлений необходимо решение следующих задач:</w:t>
      </w:r>
    </w:p>
    <w:p w:rsidR="007403FF" w:rsidRPr="008B0B71" w:rsidRDefault="007403FF" w:rsidP="00071D7F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 xml:space="preserve">         «Основные направления развития человеческого капитала  и      социальной сферы Ардатовского муниципального района».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rPr>
          <w:rFonts w:ascii="Times New Roman" w:hAnsi="Times New Roman"/>
          <w:b/>
          <w:sz w:val="32"/>
          <w:szCs w:val="32"/>
        </w:rPr>
      </w:pPr>
    </w:p>
    <w:p w:rsidR="007403FF" w:rsidRPr="008B0B71" w:rsidRDefault="007403FF" w:rsidP="009C1D21">
      <w:pPr>
        <w:pStyle w:val="ListParagraph"/>
        <w:numPr>
          <w:ilvl w:val="0"/>
          <w:numId w:val="2"/>
        </w:numPr>
        <w:tabs>
          <w:tab w:val="left" w:pos="1276"/>
        </w:tabs>
        <w:suppressAutoHyphens/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>Удержание сложившейся демографической ситуации:</w:t>
      </w:r>
    </w:p>
    <w:p w:rsidR="007403FF" w:rsidRPr="008B0B71" w:rsidRDefault="007403FF" w:rsidP="001C0088">
      <w:pPr>
        <w:pStyle w:val="ListParagraph"/>
        <w:spacing w:before="120" w:after="0" w:line="360" w:lineRule="auto"/>
        <w:ind w:left="0"/>
        <w:contextualSpacing w:val="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         В целом по Ардатовскому району отмечается демографическая ситуация, характеризуемая продолжающимся процессом естественной убыли населения, связанной с опережающим ростом смертности над рождаемостью. Анализируя статистику, прогнозируется, что ежегодно численность населения Ардатовского района будет снижаться. </w:t>
      </w:r>
    </w:p>
    <w:p w:rsidR="007403FF" w:rsidRPr="008B0B71" w:rsidRDefault="007403FF" w:rsidP="001C0088">
      <w:pPr>
        <w:tabs>
          <w:tab w:val="left" w:pos="993"/>
        </w:tabs>
        <w:suppressAutoHyphens/>
        <w:spacing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В рамках решения данной задачи ожидается снижение численности постоянного населения к </w:t>
      </w:r>
      <w:smartTag w:uri="urn:schemas-microsoft-com:office:smarttags" w:element="metricconverter">
        <w:smartTagPr>
          <w:attr w:name="ProductID" w:val="2025 г"/>
        </w:smartTagPr>
        <w:r w:rsidRPr="008B0B71">
          <w:rPr>
            <w:rFonts w:ascii="Times New Roman" w:hAnsi="Times New Roman"/>
            <w:sz w:val="32"/>
            <w:szCs w:val="32"/>
          </w:rPr>
          <w:t>2025 г</w:t>
        </w:r>
      </w:smartTag>
      <w:r w:rsidRPr="008B0B71">
        <w:rPr>
          <w:rFonts w:ascii="Times New Roman" w:hAnsi="Times New Roman"/>
          <w:sz w:val="32"/>
          <w:szCs w:val="32"/>
        </w:rPr>
        <w:t>. не более 10 %.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Развитие рынка труда и обеспечение занятости населения</w:t>
      </w:r>
      <w:r w:rsidRPr="008B0B71">
        <w:rPr>
          <w:rFonts w:ascii="Times New Roman" w:hAnsi="Times New Roman"/>
          <w:sz w:val="32"/>
          <w:szCs w:val="32"/>
        </w:rPr>
        <w:t xml:space="preserve">. </w:t>
      </w:r>
    </w:p>
    <w:p w:rsidR="007403FF" w:rsidRPr="008B0B71" w:rsidRDefault="007403FF" w:rsidP="00E8491E">
      <w:pPr>
        <w:spacing w:before="120" w:after="0" w:line="36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Демографическая структура и состав населения во многом определяют перспективы и проблемы рынка труда, а значит, и трудовой потенциал той или иной территории.  </w:t>
      </w:r>
    </w:p>
    <w:p w:rsidR="007403FF" w:rsidRPr="008B0B71" w:rsidRDefault="007403FF" w:rsidP="00E8491E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Учитывая относительно высокий удельный вес лиц пожилого возраста, на перспективу сохранится доминирование высокого уровня смертности населения над рождаемостью, что неумолимо приведет к дальнейшему масштабному сокращению не только общей численности населения района, но и уменьшению наиболее трудоспособной его части.</w:t>
      </w:r>
    </w:p>
    <w:p w:rsidR="007403FF" w:rsidRPr="008B0B71" w:rsidRDefault="007403FF" w:rsidP="00E8491E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В настоящее время возрастная структура населения Ардатовского  района отчетливо выражает кризисный её характер – лица пенсионного возраста в 2017 году составили  8403 чел., при низком уровне лиц младше трудоспособного возраста 3599 чел. </w:t>
      </w:r>
    </w:p>
    <w:p w:rsidR="007403FF" w:rsidRPr="008B0B71" w:rsidRDefault="007403FF" w:rsidP="00E8491E">
      <w:pPr>
        <w:spacing w:after="0" w:line="360" w:lineRule="auto"/>
        <w:ind w:firstLine="567"/>
        <w:jc w:val="both"/>
        <w:rPr>
          <w:rFonts w:ascii="Times New Roman" w:hAnsi="Times New Roman"/>
          <w:bCs/>
          <w:sz w:val="32"/>
          <w:szCs w:val="32"/>
        </w:rPr>
      </w:pPr>
      <w:r w:rsidRPr="008B0B71">
        <w:rPr>
          <w:rFonts w:ascii="Times New Roman" w:hAnsi="Times New Roman"/>
          <w:bCs/>
          <w:sz w:val="32"/>
          <w:szCs w:val="32"/>
        </w:rPr>
        <w:t xml:space="preserve">Доля населения трудоспособного возраста составляет 52,3% от среднегодовой численности населения района, доля населения старше трудоспособного – 33%, доля детей и молодежи – 14%.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Развитие отраслей социальной сферы</w:t>
      </w:r>
      <w:r w:rsidRPr="008B0B71">
        <w:rPr>
          <w:rFonts w:ascii="Times New Roman" w:hAnsi="Times New Roman"/>
          <w:i/>
          <w:sz w:val="32"/>
          <w:szCs w:val="32"/>
        </w:rPr>
        <w:t>.</w:t>
      </w:r>
    </w:p>
    <w:p w:rsidR="007403FF" w:rsidRPr="008B0B71" w:rsidRDefault="007403FF" w:rsidP="00F30547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>Развитие системы непрерывного образования, соответствующей образовательным стандартам.</w:t>
      </w:r>
    </w:p>
    <w:p w:rsidR="007403FF" w:rsidRPr="008B0B71" w:rsidRDefault="007403FF" w:rsidP="00F30547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В рамках достижения данной цели планируется к 2025 году реализовать следующие проекты: в 2019г строительство пристоя на 50 мест МБОУ д/с "Теремок" в г.Ардатов, в  2020г строительство детского сада в пос. Тургенево на 70 мест и с.Редкодубье на 55 мест, в 2021г. завершение строительства детского сада на 250 мест в г.Ардатов, строительство пристроя к МБОУ "Ардатовская СОШ".</w:t>
      </w: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Ожидаемые результаты реализации приоритетных направлений развития образования к 2025 году: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до 90%; </w:t>
      </w:r>
    </w:p>
    <w:p w:rsidR="007403FF" w:rsidRPr="008B0B71" w:rsidRDefault="007403FF" w:rsidP="009A3C16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обеспечить детей дошкольного возраста местами в дошкольных образовательных организациях.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       Здравоохранение.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Главной целью здравоохранения Ардатовского района является увеличение продолжительности жизни за счет обеспечения доступной  и качественной медицинской помощи.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Для достижения поставленной цели основными направлениями деятельности в предстоящие годы должны стать: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развитие эффективной системы профилактики заболеваний и содействия формированию у населения ценности здорового образа жизни путем повышения роли профилактики на основе проведения диспансеризации различных возрастных групп населения в деятельности первичного медицинского звена;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кадровое обеспечение системы здравоохранения и преодоление дефицита медицинских кадров путем привлечения и закрепления их в учреждения здравоохранения района, в том числе путем целевой подготовки специалистов, обеспечения их жильем, повышения уровня оплаты труда;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совершенствование системы оказания медицинской помощи  организация ее на принципах по этапам в зависимости от состояния здоровья пациента и потребности в том или ином уровне медицинской помощи.   К 2025 году общий коэффициент смертности в районе сократится до 19% (2015г- 19,9%). Будет сокращена смертность по всем основным причинам и социально-значимым заболеваниям.</w:t>
      </w:r>
    </w:p>
    <w:p w:rsidR="007403FF" w:rsidRPr="008B0B71" w:rsidRDefault="007403FF" w:rsidP="00E8491E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В качестве основных проектов данной сферы можно выделить строительство модульно-блочных фельдшерско-акушерских пунктов в сельских поселениях района: в 2020 году – в с. Жабино, в 2021 - в с. Чукалы.</w:t>
      </w:r>
    </w:p>
    <w:p w:rsidR="007403FF" w:rsidRPr="008B0B71" w:rsidRDefault="007403FF" w:rsidP="00E8491E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Культура. </w:t>
      </w:r>
    </w:p>
    <w:p w:rsidR="007403FF" w:rsidRPr="008B0B71" w:rsidRDefault="007403FF" w:rsidP="00E8491E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Реализация основных направлений культурной политики Ардатовского района Республики Мордовия в период до 2025 года предполагает следующие результаты: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создание 2-х модульных библиотек;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ежегодное обновление библиотечных фондов до 5%;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увеличение числа обращений к библиотеке удаленных пользователей до 20% от общего числа посещений;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увеличение доли учреждений культурно-досугового типа, находящихся в удовлетворительном состоянии от общего числа учреждений данного типа до 62%;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строительство Центра культурного развития в пос. Тургенево, с.Редкодубье, пос.Октябрьский;</w:t>
      </w:r>
    </w:p>
    <w:p w:rsidR="007403FF" w:rsidRPr="008B0B71" w:rsidRDefault="007403FF" w:rsidP="00451C0A">
      <w:pPr>
        <w:spacing w:line="360" w:lineRule="auto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Физическая культура и спорт.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В результате реализации приоритетных направлений в области физической культуры и спорта района  к 2025 году будут достигнуты следующие результаты: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- увеличение уровня фактической обеспеченности спортивными залами от нормативной потребности до 100%;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увеличение доли населения систематически занимающихся физической культурой и спортом до 55 %;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-долю обучающихся, систематически занимающихся физической культурой и спортом, в общей численности обучающихся до 90 %.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В целях реализации этих мероприятий завершить в 2019 году строительство тренировочной базы по гребным видам спорта в г.Ардатов, строительство спортивных площадок в пос.Тургенево, Октябрьский.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      Сельское хозяйство.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С целью укрепления и дальнейшего развития жизни на селе необходимо привлечение молодых специалистов путем улучшения жилищных условий, повышения уровня благоустройства сельских жителей, улучшением социальной, бытовой и транспортной инфраструктуры.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Развитие агропромышленного комплекса Ардатовского  муниципального района потребует реализации ряда мероприятий, в числе которых: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Темп роста объема производства продукции сельского хозяйства в хозяйствах всех категорий к базовому году в сопоставимых ценах –138%. ( 2017г- 1,2 млрд. руб, 2025г-1,6 млрд. руб)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Увеличение валового сбора зерновых к 2025 г. до 90,0 тыс.тонн за счет интенсификации земледелия, оптимизации защиты сельскохозяйственных посевов от вредителей, болезней и сорняков; восстановление плодородия земель за счет увеличения внесения минеральных и органических удобрений; приобретение и использование высококачественного семенного фонда; обновление парка сельскохозяйственной техники.</w:t>
      </w:r>
    </w:p>
    <w:p w:rsidR="007403FF" w:rsidRPr="008B0B71" w:rsidRDefault="007403FF" w:rsidP="00A42433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- Увеличение к 2025 г. производства скота и птицы до 5 тыс.тн. за счет строительства свинокомплекса ЗАО «Мордовский бекон» в период 2023-2025годы с ростом к базовому году 116% .                    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Жилищно – коммунальная сфера</w:t>
      </w:r>
      <w:r w:rsidRPr="008B0B71">
        <w:rPr>
          <w:rFonts w:ascii="Times New Roman" w:hAnsi="Times New Roman"/>
          <w:i/>
          <w:sz w:val="32"/>
          <w:szCs w:val="32"/>
        </w:rPr>
        <w:t xml:space="preserve">. </w:t>
      </w:r>
    </w:p>
    <w:p w:rsidR="007403FF" w:rsidRPr="008B0B71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В 2025 году темпы роста строительства и ввода в эксплуатацию жилья в районе к базовому году вырастут в 1.4 раза. В целом в период до 2025 года будет введено 59,6 тыс. м2 жилья, за предыдущие 7 лет(2010-2017гг.) в районе введено жилья 51,7 тыс.кв.м. К 2025 году обеспеченность населения района общей площадью жилья увеличится до 29,3 м2.</w:t>
      </w:r>
    </w:p>
    <w:p w:rsidR="007403FF" w:rsidRPr="008B0B71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Развитие малого и среднего бизнеса.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Результатами развития малого и среднего бизнеса к 2025 году станут: - увеличение доли товарооборота предприятий малого бизнеса до  63% в общем обороте организаций;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увеличение доли занятых на малых и средних предприятиях от общей численности занятых в экономике района до 33,1%;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 - увеличение числа субъектов малого и среднего предпринимательства на 10000 человек населения района до 149 единиц (2017 год – 145).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>Основные направления экономического развития, повышения конкурентоспособности и инвестиционной привлекательности.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  Инвестиционная политика.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Целью инвестиционной политики района является создание условий, формирующих благоприятный инвестиционный климат для потенциальных инвесторов и обеспечение инвестиционной поддержки для социально- экономического развития района, способствующие росту уровня и качества жизни населения. Направления реализации инвестиционной политики района будут включать в себя: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инициирование органами местного самоуправления инвестиционных предложений  по реализации инвестиционных проектов, отвечающих интересам развития района, в том числе проектов создания перерабатывающих предприятий, осуществляющих выпуск готовой продукции;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развитие муниципально - частного партнерства в социальной сфере и в жилищно - коммунальном хозяйстве;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- стимулирование и муниципальная поддержка инвестиционной деятельности. 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 Темп роста объема инвестиций в основной капитал к базовому году в сопоставимых ценах в 3 раза %.( в 2025г -635млн.руб. против 2017г.- 198 млн.руб.) За счет реализации инвестиционных проектов в среднем за будет создаваться 534 постоянных и временных новых рабочих места.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        Предусматриваемые направления инвестиционной политики района будут способствовать формированию благоприятного климата для широкого круга предпринимателей и инвесторов. </w:t>
      </w:r>
    </w:p>
    <w:p w:rsidR="007403FF" w:rsidRPr="008B0B71" w:rsidRDefault="007403FF" w:rsidP="00DE64BE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На территории Ардатовского муниципального района имеется инвестиционная площадка типа «гринфилд»: </w:t>
      </w:r>
      <w:bookmarkStart w:id="0" w:name="_GoBack"/>
      <w:bookmarkEnd w:id="0"/>
    </w:p>
    <w:p w:rsidR="007403FF" w:rsidRPr="008B0B71" w:rsidRDefault="007403FF" w:rsidP="00DE64BE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в районе пос. Тургенево, площадью 43 га;</w:t>
      </w:r>
    </w:p>
    <w:p w:rsidR="007403FF" w:rsidRPr="008B0B71" w:rsidRDefault="007403FF" w:rsidP="00DE64BE">
      <w:pPr>
        <w:spacing w:line="36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b/>
          <w:bCs/>
          <w:iCs/>
          <w:spacing w:val="-2"/>
          <w:sz w:val="32"/>
          <w:szCs w:val="32"/>
        </w:rPr>
        <w:t>Основные направления повышения эффективности управления муниципальными финансами.</w:t>
      </w:r>
    </w:p>
    <w:p w:rsidR="007403FF" w:rsidRPr="008B0B71" w:rsidRDefault="007403FF" w:rsidP="00451C0A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Основным стратегическим приоритетом государственной политики в сфере управления муниципальными финансами, муниципальным долгом Ардатовского муниципального района является эффективное использование бюджетных ресурсов для обеспечения динамичного развития экономики, повышения уровня жизни населения и формирования благоприятных условий жизнедеятельности в районе.</w:t>
      </w:r>
    </w:p>
    <w:p w:rsidR="007403FF" w:rsidRPr="008B0B71" w:rsidRDefault="007403FF" w:rsidP="00451C0A">
      <w:pPr>
        <w:spacing w:after="0" w:line="36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</w:t>
      </w:r>
      <w:r w:rsidRPr="008B0B71">
        <w:rPr>
          <w:rFonts w:ascii="Times New Roman" w:hAnsi="Times New Roman"/>
          <w:b/>
          <w:sz w:val="32"/>
          <w:szCs w:val="32"/>
        </w:rPr>
        <w:t>Доходы бюджета</w:t>
      </w:r>
    </w:p>
    <w:p w:rsidR="007403FF" w:rsidRPr="008B0B71" w:rsidRDefault="007403FF" w:rsidP="00451C0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За период  с 2019 по 2025 года ожидаемые темпы роста налоговых доходов составят 124%, неналоговые доходы на 83 %. Основная доля налоговых доходов составляет НДФЛ и местные налоги (налог на имущество физических лиц и земельный налог).  </w:t>
      </w:r>
    </w:p>
    <w:p w:rsidR="007403FF" w:rsidRPr="008B0B71" w:rsidRDefault="007403FF" w:rsidP="00451C0A">
      <w:pPr>
        <w:spacing w:after="0" w:line="36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b/>
          <w:sz w:val="32"/>
          <w:szCs w:val="32"/>
        </w:rPr>
        <w:t xml:space="preserve">                                         Расходы бюджета</w:t>
      </w:r>
    </w:p>
    <w:p w:rsidR="007403FF" w:rsidRPr="008B0B71" w:rsidRDefault="007403FF" w:rsidP="00451C0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В 2019-2025 г продолжится тенденция по увеличению расходной составляющей социального направления. </w:t>
      </w:r>
    </w:p>
    <w:p w:rsidR="007403FF" w:rsidRPr="008B0B71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 Более 60% расходов бюджета это расходы на образование, 11% расходы на культуру и спорт.</w:t>
      </w:r>
    </w:p>
    <w:p w:rsidR="007403FF" w:rsidRPr="008B0B71" w:rsidRDefault="007403FF" w:rsidP="00451C0A">
      <w:pPr>
        <w:tabs>
          <w:tab w:val="left" w:pos="3540"/>
        </w:tabs>
        <w:suppressAutoHyphens/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8B0B71">
        <w:rPr>
          <w:rFonts w:ascii="Times New Roman" w:hAnsi="Times New Roman"/>
          <w:b/>
          <w:i/>
          <w:caps/>
          <w:sz w:val="32"/>
          <w:szCs w:val="32"/>
        </w:rPr>
        <w:t xml:space="preserve">    </w:t>
      </w:r>
      <w:r w:rsidRPr="008B0B71">
        <w:rPr>
          <w:rFonts w:ascii="Times New Roman" w:hAnsi="Times New Roman"/>
          <w:b/>
          <w:i/>
          <w:sz w:val="32"/>
          <w:szCs w:val="32"/>
        </w:rPr>
        <w:t>Повышение эффективности муниципального управления предполагает:</w:t>
      </w:r>
    </w:p>
    <w:p w:rsidR="007403FF" w:rsidRPr="008B0B71" w:rsidRDefault="007403FF" w:rsidP="00451C0A">
      <w:pPr>
        <w:tabs>
          <w:tab w:val="left" w:pos="3540"/>
        </w:tabs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развитие муниципальной службы в Ардатовском муниципальном районе; обеспечение прозрачности и информационной открытости органов местного самоуправления; повышение качества предоставления муниципальных услуг; осуществление деятельности в сфере муниципальных закупок;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Целевые индикаторы, достижение которых планируется к 2025 году: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- рост показателя удовлетворенности населения деятельностью руководителей органов МСУ до 84 %.(по итогам интернет - опроса за 2017г этот показатель равен – 81%)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Реализация Стратегии потребует привлечения значительных финансовых ресурсов. Источниками финансирования реализации мероприятий станут бюджетные и внебюджетные средства, которые могут привлекаться на принципах государственно-частного партнерства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 xml:space="preserve">Объём финансовых ресурсов, требуемых для реализации Стратеги составляет 6773,2 млн.руб.,  т.ч. средства федерального бюджета 1216,6 млн.руб., республиканского – 3292,9 млн.руб., местного – 766,8 млн.руб. и внебюджетные источники в размере 1496,9 млн.руб.                      </w:t>
      </w:r>
    </w:p>
    <w:p w:rsidR="007403FF" w:rsidRPr="008B0B71" w:rsidRDefault="007403FF" w:rsidP="00451C0A">
      <w:pPr>
        <w:suppressAutoHyphens/>
        <w:spacing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B0B71">
        <w:rPr>
          <w:rFonts w:ascii="Times New Roman" w:hAnsi="Times New Roman"/>
          <w:sz w:val="32"/>
          <w:szCs w:val="32"/>
        </w:rPr>
        <w:t>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программ Ардатовского района. Объем бюджетных средств на реализацию муниципальных программ района будет ежегодно уточняться по итогам оценки эффективности реализации муниципальных программ, исходя из бюджетной возможности. В период действия Стратегии планируется реализация 14 муниципальных программ. Данные программы предусматривают систематическое исполнение мероприятий по основным отраслям и направлениям развития района за счёт всех источников финансирования.</w:t>
      </w:r>
    </w:p>
    <w:p w:rsidR="007403FF" w:rsidRPr="008B0B71" w:rsidRDefault="007403FF" w:rsidP="00451C0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0B71">
        <w:rPr>
          <w:rFonts w:ascii="Times New Roman" w:hAnsi="Times New Roman" w:cs="Times New Roman"/>
          <w:sz w:val="32"/>
          <w:szCs w:val="32"/>
        </w:rPr>
        <w:t>Реализация Стратегии планируется с 01.01.2019 года. В случае необходимости предполагается её корректировка.</w:t>
      </w:r>
    </w:p>
    <w:p w:rsidR="007403FF" w:rsidRPr="00C115D2" w:rsidRDefault="007403FF" w:rsidP="00451C0A">
      <w:pPr>
        <w:spacing w:line="360" w:lineRule="auto"/>
        <w:ind w:firstLine="540"/>
        <w:jc w:val="both"/>
        <w:rPr>
          <w:rFonts w:ascii="Times New Roman" w:hAnsi="Times New Roman"/>
          <w:color w:val="FF0000"/>
          <w:sz w:val="32"/>
          <w:szCs w:val="32"/>
        </w:rPr>
      </w:pPr>
    </w:p>
    <w:sectPr w:rsidR="007403FF" w:rsidRPr="00C115D2" w:rsidSect="00BB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7F5"/>
    <w:multiLevelType w:val="multilevel"/>
    <w:tmpl w:val="618EF7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1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2160"/>
      </w:pPr>
      <w:rPr>
        <w:rFonts w:cs="Times New Roman" w:hint="default"/>
      </w:rPr>
    </w:lvl>
  </w:abstractNum>
  <w:abstractNum w:abstractNumId="1">
    <w:nsid w:val="33586C76"/>
    <w:multiLevelType w:val="hybridMultilevel"/>
    <w:tmpl w:val="C80AAB20"/>
    <w:lvl w:ilvl="0" w:tplc="A9AA94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DB9"/>
    <w:rsid w:val="00071D7F"/>
    <w:rsid w:val="00104AC6"/>
    <w:rsid w:val="001509A0"/>
    <w:rsid w:val="001A25AE"/>
    <w:rsid w:val="001C0088"/>
    <w:rsid w:val="001D45EF"/>
    <w:rsid w:val="00201BE3"/>
    <w:rsid w:val="00207EC9"/>
    <w:rsid w:val="0022750E"/>
    <w:rsid w:val="00287DB9"/>
    <w:rsid w:val="00370143"/>
    <w:rsid w:val="00447C56"/>
    <w:rsid w:val="00451C0A"/>
    <w:rsid w:val="004E6D98"/>
    <w:rsid w:val="00524E56"/>
    <w:rsid w:val="00531CBA"/>
    <w:rsid w:val="005E59A1"/>
    <w:rsid w:val="005F0CC8"/>
    <w:rsid w:val="006D2306"/>
    <w:rsid w:val="006E542A"/>
    <w:rsid w:val="007403FF"/>
    <w:rsid w:val="00823B8A"/>
    <w:rsid w:val="00875045"/>
    <w:rsid w:val="008B0B71"/>
    <w:rsid w:val="009A3C16"/>
    <w:rsid w:val="009B400F"/>
    <w:rsid w:val="009C1D21"/>
    <w:rsid w:val="00A14B07"/>
    <w:rsid w:val="00A42433"/>
    <w:rsid w:val="00B04A1B"/>
    <w:rsid w:val="00B72620"/>
    <w:rsid w:val="00BB308B"/>
    <w:rsid w:val="00C115D2"/>
    <w:rsid w:val="00CE3F1C"/>
    <w:rsid w:val="00D91F92"/>
    <w:rsid w:val="00D968CC"/>
    <w:rsid w:val="00DE64BE"/>
    <w:rsid w:val="00E2761A"/>
    <w:rsid w:val="00E44E54"/>
    <w:rsid w:val="00E702C8"/>
    <w:rsid w:val="00E8491E"/>
    <w:rsid w:val="00ED0585"/>
    <w:rsid w:val="00EE0412"/>
    <w:rsid w:val="00EF709E"/>
    <w:rsid w:val="00F1080C"/>
    <w:rsid w:val="00F3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DB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04A1B"/>
    <w:pPr>
      <w:widowControl w:val="0"/>
      <w:autoSpaceDE w:val="0"/>
      <w:autoSpaceDN w:val="0"/>
    </w:pPr>
    <w:rPr>
      <w:rFonts w:cs="Calibri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04A1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9C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0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4AC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894</TotalTime>
  <Pages>12</Pages>
  <Words>2164</Words>
  <Characters>12340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</cp:lastModifiedBy>
  <cp:revision>10</cp:revision>
  <cp:lastPrinted>2018-09-27T06:28:00Z</cp:lastPrinted>
  <dcterms:created xsi:type="dcterms:W3CDTF">2018-09-24T12:40:00Z</dcterms:created>
  <dcterms:modified xsi:type="dcterms:W3CDTF">2018-10-02T11:55:00Z</dcterms:modified>
</cp:coreProperties>
</file>